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a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w:t>
      </w:r>
      <w:r>
        <w:t xml:space="preserve">(radiocarbon), a single measurement of</w:t>
      </w:r>
      <w:r>
        <w:t xml:space="preserve"> </w:t>
      </w:r>
      <m:oMath>
        <m:sSup>
          <m:e>
            <m:r>
              <m:t>​</m:t>
            </m:r>
          </m:e>
          <m:sup>
            <m:r>
              <m:t>210</m:t>
            </m:r>
          </m:sup>
        </m:sSup>
        <m:r>
          <m:t>P</m:t>
        </m:r>
        <m:r>
          <m:t>b</m:t>
        </m:r>
      </m:oMath>
      <w:r>
        <w:t xml:space="preserve"> </w:t>
      </w:r>
      <w:r>
        <w:t xml:space="preserve">is useless for dating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human impact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w:t>
      </w:r>
      <w:r>
        <w:t xml:space="preserve"> </w:t>
      </w:r>
      <w:r>
        <w:t xml:space="preserve">This is not the only model but it is by far the most popular (see figure</w:t>
      </w:r>
      <w:r>
        <w:t xml:space="preserve"> </w:t>
      </w:r>
      <w:hyperlink w:anchor="fig:210models">
        <w:r>
          <w:rPr>
            <w:rStyle w:val="Hyperlink"/>
          </w:rPr>
          <w:t xml:space="preserve">1</w:t>
        </w:r>
      </w:hyperlink>
      <w:r>
        <w:t xml:space="preserve">) and with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model requiere the assumption of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good portion of the inventory or the use of interpolation in order to fairly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Appleby 2001; Sanchez-Cabeza et al. 2014)</w:t>
      </w:r>
      <w:r>
        <w:t xml:space="preserve"> </w:t>
      </w:r>
      <w:r>
        <w:t xml:space="preserve">and to its applicability when extra information is available -extra dating sources e.g.</w:t>
      </w:r>
      <w:r>
        <w:t xml:space="preserve"> </w:t>
      </w:r>
      <m:oMath>
        <m:sSup>
          <m:e>
            <m:r>
              <m:t>​</m:t>
            </m:r>
          </m:e>
          <m:sup>
            <m:r>
              <m:t>137</m:t>
            </m:r>
          </m:sup>
        </m:sSup>
        <m:r>
          <m:t>C</m:t>
        </m:r>
        <m:r>
          <m:t>s</m:t>
        </m:r>
      </m:oMath>
      <w:r>
        <w:t xml:space="preserve"> </w:t>
      </w:r>
      <w:r>
        <w:t xml:space="preserve">or laminated sediments-</w:t>
      </w:r>
      <w:r>
        <w:t xml:space="preserve"> </w:t>
      </w:r>
      <w:r>
        <w:t xml:space="preserve">(Appleby 1998, 2001, 2008)</w:t>
      </w:r>
    </w:p>
    <w:p>
      <w:pPr>
        <w:pStyle w:val="BodyText"/>
      </w:pPr>
      <w:r>
        <w:t xml:space="preserve">A recent study</w:t>
      </w:r>
      <w:r>
        <w:t xml:space="preserve"> </w:t>
      </w:r>
      <w:r>
        <w:t xml:space="preserve">(Barsanti et al. 2020)</w:t>
      </w:r>
      <w:r>
        <w:t xml:space="preserve">, an inter-laboratory experiment presented a series of data to different laboratories around the world.</w:t>
      </w:r>
      <w:r>
        <w:t xml:space="preserve"> </w:t>
      </w:r>
      <w:r>
        <w:t xml:space="preserve">Each laboratory was ask to provide a chronology given the provided data.</w:t>
      </w:r>
      <w:r>
        <w:t xml:space="preserve"> </w:t>
      </w:r>
      <w:r>
        <w:t xml:space="preserve">This experiment resulted in a whole range of different chronologies, given the same data, not only when different models were used, but even when the same model was applied.</w:t>
      </w:r>
      <w:r>
        <w:t xml:space="preserve"> </w:t>
      </w:r>
      <w:r>
        <w:t xml:space="preserve">The authors strongly advised to the use of independent time markers (extra dating sources) for the validation of the chronologies.</w:t>
      </w:r>
      <w:r>
        <w:t xml:space="preserve"> </w:t>
      </w:r>
      <w:r>
        <w:t xml:space="preserve">This research clearly shows the effect that user decisions have on the resulting chronologies, which becomes extremely important when trying to replicate the resulting chronologies.</w:t>
      </w:r>
      <w:r>
        <w:t xml:space="preserve"> </w:t>
      </w:r>
      <w:r>
        <w:t xml:space="preserve">User trying to replicate these chronologies will not only need access to the raw data but also to 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Frequency of ^{210}Pb dating models used in papers between 1964 and 2017. Data gather by Mustaphi et al. (2019) from literature review of 271 papers. CF:CS model also known as The Constant Flux - Constant Sedimentation (Robbins 1978), CIC (Constant Initial Concentration) presented by Goldberg (1963; Crozaz, Picciotto, and Breuck 1964; Robbins 1978), CRS - 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Frequency of</w:t>
      </w:r>
      <w:r>
        <w:t xml:space="preserve"> </w:t>
      </w:r>
      <m:oMath>
        <m:sSup>
          <m:e>
            <m:r>
              <m:t>​</m:t>
            </m:r>
          </m:e>
          <m:sup>
            <m:r>
              <m:t>210</m:t>
            </m:r>
          </m:sup>
        </m:sSup>
        <m:r>
          <m:t>P</m:t>
        </m:r>
        <m:r>
          <m:t>b</m:t>
        </m:r>
      </m:oMath>
      <w:r>
        <w:t xml:space="preserve"> </w:t>
      </w:r>
      <w:r>
        <w:t xml:space="preserve">dating 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This model treads every data point as originating from a system, which includes the sedimentation process as well as the decay process.</w:t>
      </w:r>
      <w:r>
        <w:t xml:space="preserve"> </w:t>
      </w:r>
      <w:r>
        <w:t xml:space="preserve">It also incorporate an important variable to the infer process, the levels of supported</w:t>
      </w:r>
      <w:r>
        <w:t xml:space="preserve"> </w:t>
      </w:r>
      <m:oMath>
        <m:sSup>
          <m:e>
            <m:r>
              <m:t>​</m:t>
            </m:r>
          </m:e>
          <m:sup>
            <m:r>
              <m:t>210</m:t>
            </m:r>
          </m:sup>
        </m:sSup>
        <m:r>
          <m:t>P</m:t>
        </m:r>
        <m:r>
          <m:t>b</m:t>
        </m:r>
      </m:oMath>
      <w:r>
        <w:t xml:space="preserve">, which naturally forms in the sediment and it normally threaded as a hindrance variable.</w:t>
      </w:r>
      <w:r>
        <w:t xml:space="preserve"> </w:t>
      </w:r>
      <w:r>
        <w:t xml:space="preserve">Plum assumes that there exist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This treatment of the data allows for a formal statistical inference and by using a Bayesian approach all the parameters of the model can be infer.</w:t>
      </w:r>
      <w:r>
        <w:t xml:space="preserve"> </w:t>
      </w:r>
      <w:r>
        <w:t xml:space="preserve">This differs from the CRS model because this last one uses the decay equation to obtained the age-depth function (which results in a more restrictive age-depth model)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2020)</w:t>
      </w:r>
      <w:r>
        <w:t xml:space="preserve"> </w:t>
      </w:r>
      <w:r>
        <w:t xml:space="preserve">- in both simulations and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construction.</w:t>
      </w:r>
      <w:r>
        <w:t xml:space="preserve"> </w:t>
      </w:r>
      <w:r>
        <w:t xml:space="preserve">Blaauw concluded that Bayesian models provide a more accurate result and more realistic uncertainties under different scenarios - simulations and real cores.</w:t>
      </w:r>
      <w:r>
        <w:t xml:space="preserve"> </w:t>
      </w:r>
      <w:r>
        <w:t xml:space="preserve">In this study, we compre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under simulated cores.</w:t>
      </w:r>
      <w:r>
        <w:t xml:space="preserve"> </w:t>
      </w:r>
      <w:r>
        <w:t xml:space="preserve">The objective of this analysis is to observe if the results that</w:t>
      </w:r>
      <w:r>
        <w:t xml:space="preserve"> </w:t>
      </w:r>
      <w:r>
        <w:t xml:space="preserve">Blaauw et al. (2018)</w:t>
      </w:r>
      <w:r>
        <w:t xml:space="preserve"> </w:t>
      </w:r>
      <w:r>
        <w:t xml:space="preserve">obtained are maintained on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want to observe the learning process of each of the models and how much information is needed to obtained a reasonable chronology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to which the true age-depth function is known.</w:t>
      </w:r>
      <w:r>
        <w:t xml:space="preserve"> </w:t>
      </w:r>
      <w:r>
        <w:t xml:space="preserve">Blaauw et al. (2018)</w:t>
      </w:r>
      <w:r>
        <w:t xml:space="preserve"> </w:t>
      </w:r>
      <w:r>
        <w:t xml:space="preserve">presented a methodology for simulating radiocarbon dates and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reliable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proposals (see table</w:t>
      </w:r>
      <w:r>
        <w:t xml:space="preserve"> </w:t>
      </w:r>
      <w:hyperlink w:anchor="tab:sim_param">
        <w:r>
          <w:rPr>
            <w:rStyle w:val="Hyperlink"/>
          </w:rPr>
          <w:t xml:space="preserve">1</w:t>
        </w:r>
      </w:hyperlink>
      <w:r>
        <w:t xml:space="preserve">) were chosen for our simulations, each with their own age-depth functions and parameters.</w:t>
      </w:r>
      <w:r>
        <w:t xml:space="preserve"> </w:t>
      </w:r>
      <w:r>
        <w:t xml:space="preserve">This scenarios were selected as they provide three challenges for the models: the first proposal presents a age-depth function which is quite common for recent sediments, the second proposal presents challenging core as the function replicates a drastic and quick change in sediment behaviour around depth 15 cm,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the activity at any depth or interval (by integrating the curve in such interval).</w:t>
      </w:r>
    </w:p>
    <w:bookmarkStart w:id="28"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Proposal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Proposal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Proposal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every equipment is subject to error, we need to replicate the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w:t>
      </w:r>
      <w:r>
        <w:t xml:space="preserve"> </w:t>
      </w:r>
      <w:r>
        <w:t xml:space="preserve">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data sets, we then define a new variable call percentage of information.</w:t>
      </w:r>
      <w:r>
        <w:t xml:space="preserve"> </w:t>
      </w:r>
      <w:r>
        <w:t xml:space="preserve">This variable relates to how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every</w:t>
      </w:r>
      <w:r>
        <w:t xml:space="preserve"> </w:t>
      </w:r>
      <m:oMath>
        <m:r>
          <m:t>1</m:t>
        </m:r>
      </m:oMath>
      <w:r>
        <w:t xml:space="preserve"> </w:t>
      </w:r>
      <w:r>
        <w:t xml:space="preserve">cm if 20 samples are measured, the percentage of information would be 20 %.</w:t>
      </w:r>
      <w:r>
        <w:t xml:space="preserve"> </w:t>
      </w:r>
      <w:r>
        <w:t xml:space="preserve">This variable will help us to have a measuring tool for how much information are needed for a good chronology without depending on the number or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 information percentage.</w:t>
      </w:r>
      <w:r>
        <w:t xml:space="preserve"> </w:t>
      </w:r>
      <w:r>
        <w:t xml:space="preserve">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on the other hand, the CRS can provide a chronology if the complete inventory is estimated using extrapolation and forcing the model to pass by a known date.</w:t>
      </w:r>
      <w:r>
        <w:t xml:space="preserve"> </w:t>
      </w:r>
      <w:r>
        <w:t xml:space="preserve">This means user innervation and to avoid this problem and to provide a more objective comparison, every sampling set will reach background, which guaranties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models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This simulated cores were randomly selected given a percentage of information (e.g. for a 20% information sample, in a 30 cm cores, 6 random samples were selected).</w:t>
      </w:r>
      <w:r>
        <w:t xml:space="preserve"> </w:t>
      </w:r>
      <w:r>
        <w:t xml:space="preserve">Becase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this model.</w:t>
      </w:r>
      <w:r>
        <w:t xml:space="preserve"> </w:t>
      </w:r>
      <w:r>
        <w:t xml:space="preserve">100 different samples were randomly selected for information percentages from 10% to 95% in a 5% intervals (e.i 10%, 15%, 20%,...,95%) and the complete sample was also used (i.e 100% percentage of information sample).</w:t>
      </w:r>
      <w:r>
        <w:t xml:space="preserve"> </w:t>
      </w:r>
      <w:r>
        <w:t xml:space="preserve">After a random sample was selected, both the CRS model and</w:t>
      </w:r>
      <w:r>
        <w:t xml:space="preserve"> </w:t>
      </w:r>
      <w:r>
        <w:rPr>
          <w:i/>
        </w:rPr>
        <w:t xml:space="preserve">Plum</w:t>
      </w:r>
      <w:r>
        <w:t xml:space="preserve"> </w:t>
      </w:r>
      <w:r>
        <w:t xml:space="preserve">were performed and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variable will show us how far the model is from the true value given its own uncertainty).</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together (offset and length of interval).</w:t>
      </w:r>
      <w:r>
        <w:t xml:space="preserve"> </w:t>
      </w:r>
      <w:r>
        <w:t xml:space="preserve">To have a more realistic representation of how the models capture the true age-depth models we can observe the normalized offset.</w:t>
      </w:r>
      <w:r>
        <w:t xml:space="preserve"> </w:t>
      </w:r>
      <w:r>
        <w:t xml:space="preserve">This variable (normalized offset) shows how on average the models contain the true within their uncertainty intervals (normalized to one standard deviation).</w:t>
      </w:r>
      <w:r>
        <w:t xml:space="preserve"> </w:t>
      </w:r>
      <w:r>
        <w:t xml:space="preserve">Any model which normalized offset is bigger than two (two standard deviations) is incapable of capturing the true ages within their uncertainty intervals.</w:t>
      </w:r>
      <w:r>
        <w:t xml:space="preserve"> </w:t>
      </w:r>
      <w:r>
        <w:t xml:space="preserve">This means that the CRS provides smaller uncertainties at the cost of its accuracy.</w:t>
      </w:r>
      <w:r>
        <w:t xml:space="preserve"> </w:t>
      </w:r>
      <w:r>
        <w:t xml:space="preserve">It also appears that the length of the 95% interval and offset is not affected by how much information is provided to the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again coincides with the results found in</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BodyText"/>
      </w:pPr>
      <w:r>
        <w:t xml:space="preserve">Another important statistic to take into account is that,</w:t>
      </w:r>
      <w:r>
        <w:t xml:space="preserve"> </w:t>
      </w:r>
      <w:r>
        <w:rPr>
          <w:i/>
        </w:rPr>
        <w:t xml:space="preserve">Plum</w:t>
      </w:r>
      <w:r>
        <w:t xml:space="preserve"> </w:t>
      </w:r>
      <w:r>
        <w:t xml:space="preserve">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as more information is available, on the side the CRS model appears to not have this structure.</w:t>
      </w:r>
      <w:r>
        <w:t xml:space="preserve"> </w:t>
      </w:r>
      <w:r>
        <w:t xml:space="preserve">This results are presented for the overall chronology (the mean offset, interval and normalized offset of the overall chronology). In order to observe if certain model is better predicting a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simulation at very depth. Red dots represent the low information percentage samples and purple dots represent high percetange samples. Top figures are the normalized offset of the CRS model as the bottom ones are the results for</w:t>
      </w:r>
      <w:r>
        <w:t xml:space="preserve"> </w:t>
      </w:r>
      <w:r>
        <w:rPr>
          <w:i/>
        </w:rPr>
        <w:t xml:space="preserve">Plum</w:t>
      </w:r>
      <w:r>
        <w:t xml:space="preserve">. Columns from left to right show the results for proposal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 by the small uncertainties provided by the model.</w:t>
      </w:r>
    </w:p>
    <w:bookmarkEnd w:id="39"/>
    <w:bookmarkStart w:id="40"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 which are common practice in most other fields).</w:t>
      </w:r>
      <w:r>
        <w:t xml:space="preserve"> </w:t>
      </w:r>
      <w:r>
        <w:t xml:space="preserve">Other confidence intervals can be calculated for this model</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concern.</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minimal as an effort to show the effects of different information percentages have in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to dont learn from using more data.</w:t>
      </w:r>
      <w:r>
        <w:t xml:space="preserve"> </w:t>
      </w:r>
      <w:r>
        <w:t xml:space="preserve">This explains why over the years, many authors have insisted in the use of other dating techniques to validate the chronology provided by the CRS model</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this would be of concern if we do not take into consideration that this proposal was extremely inusual on the real world and also if user would not double check the resulting chronologies.</w:t>
      </w:r>
      <w:r>
        <w:t xml:space="preserve"> </w:t>
      </w:r>
      <w:r>
        <w:t xml:space="preserve">If more information is available about the core or the sediment, this information can easily be implemente as prior information in</w:t>
      </w:r>
      <w:r>
        <w:t xml:space="preserve"> </w:t>
      </w:r>
      <w:r>
        <w:rPr>
          <w:i/>
        </w:rPr>
        <w:t xml:space="preserve">Plum</w:t>
      </w:r>
      <w:r>
        <w:t xml:space="preserve">,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on this specific case it is providing a much better chronology to the first 10-15 cm of the core compared to the CRS model which dating is chaotic.</w:t>
      </w:r>
    </w:p>
    <w:p>
      <w:pPr>
        <w:pStyle w:val="BodyText"/>
      </w:pPr>
      <w:r>
        <w:t xml:space="preserve">In conclusion, we recommend that users validate their chronology when possible, and it not extra information is available for this validation, we recommend them to use the Bayesian approach and provide it with as much information as it would be possible.</w:t>
      </w:r>
      <w:r>
        <w:t xml:space="preserve"> </w:t>
      </w:r>
      <w:r>
        <w:t xml:space="preserve">This will guaranties that they they get the best possible chronology</w:t>
      </w:r>
    </w:p>
    <w:bookmarkEnd w:id="40"/>
    <w:bookmarkStart w:id="68"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7" w:name="refs"/>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2"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5">
        <w:r>
          <w:rPr>
            <w:rStyle w:val="Hyperlink"/>
          </w:rPr>
          <w:t xml:space="preserve">https://doi.org/10.1016/j.quascirev.2018.03.032</w:t>
        </w:r>
      </w:hyperlink>
      <w:r>
        <w:t xml:space="preserve">.</w:t>
      </w:r>
    </w:p>
    <w:bookmarkEnd w:id="56"/>
    <w:bookmarkStart w:id="58"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7">
        <w:r>
          <w:rPr>
            <w:rStyle w:val="Hyperlink"/>
          </w:rPr>
          <w:t xml:space="preserve">https://doi.org/10.1029/JZ069i012p02597</w:t>
        </w:r>
      </w:hyperlink>
      <w:r>
        <w:t xml:space="preserve">.</w:t>
      </w:r>
    </w:p>
    <w:bookmarkEnd w:id="58"/>
    <w:bookmarkStart w:id="59" w:name="ref-Goldberg1963"/>
    <w:p>
      <w:pPr>
        <w:pStyle w:val="Bibliography"/>
      </w:pPr>
      <w:r>
        <w:t xml:space="preserve">Goldberg, E. D. 1963. “Geochronology with Pb-210.”</w:t>
      </w:r>
      <w:r>
        <w:t xml:space="preserve"> </w:t>
      </w:r>
      <w:r>
        <w:rPr>
          <w:i/>
        </w:rPr>
        <w:t xml:space="preserve">Radioactive Dating</w:t>
      </w:r>
      <w:r>
        <w:t xml:space="preserve">, 121–31.</w:t>
      </w:r>
    </w:p>
    <w:bookmarkEnd w:id="59"/>
    <w:bookmarkStart w:id="61"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0">
        <w:r>
          <w:rPr>
            <w:rStyle w:val="Hyperlink"/>
          </w:rPr>
          <w:t xml:space="preserve">https://doi.org/10.1016/j.quageo.2019.04.003</w:t>
        </w:r>
      </w:hyperlink>
      <w:r>
        <w:t xml:space="preserve">.</w:t>
      </w:r>
    </w:p>
    <w:bookmarkEnd w:id="61"/>
    <w:bookmarkStart w:id="62"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2"/>
    <w:bookmarkStart w:id="64"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3">
        <w:r>
          <w:rPr>
            <w:rStyle w:val="Hyperlink"/>
          </w:rPr>
          <w:t xml:space="preserve">https://doi.org/10.1016/j.gca.2010.12.024</w:t>
        </w:r>
      </w:hyperlink>
      <w:r>
        <w:t xml:space="preserve">.</w:t>
      </w:r>
    </w:p>
    <w:bookmarkEnd w:id="64"/>
    <w:bookmarkStart w:id="66"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5">
        <w:r>
          <w:rPr>
            <w:rStyle w:val="Hyperlink"/>
          </w:rPr>
          <w:t xml:space="preserve">https://doi.org/10.1016/j.quageo.2014.06.002</w:t>
        </w:r>
      </w:hyperlink>
      <w:r>
        <w:t xml:space="preserve">.</w:t>
      </w:r>
    </w:p>
    <w:bookmarkEnd w:id="66"/>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2020-11-05T15:10:55Z</dcterms:created>
  <dcterms:modified xsi:type="dcterms:W3CDTF">2020-11-05T15:10:55Z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